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140" w14:textId="4442928D" w:rsidR="00B87771" w:rsidRPr="008B033D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r w:rsidR="00702BD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Gambling</w:t>
      </w:r>
      <w:r w:rsidR="00045896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 xml:space="preserve"> S</w:t>
      </w:r>
      <w:r w:rsidR="00702BD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 xml:space="preserve">upport </w:t>
      </w:r>
      <w:r w:rsidR="00494AB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(</w:t>
      </w:r>
      <w:r w:rsidR="00045896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I</w:t>
      </w:r>
      <w:r w:rsidR="00702BD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 xml:space="preserve">ncome </w:t>
      </w:r>
      <w:r w:rsidR="00045896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M</w:t>
      </w:r>
      <w:r w:rsidR="00702BD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 xml:space="preserve">aximisation </w:t>
      </w:r>
      <w:r w:rsidR="00045896" w:rsidRPr="00045896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Adviser</w:t>
      </w:r>
      <w:r w:rsidR="00494AB1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)</w:t>
      </w:r>
    </w:p>
    <w:p w14:paraId="4657713E" w14:textId="54874483" w:rsidR="00B87771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Responsible to: </w:t>
      </w:r>
      <w:r w:rsidR="005728BC">
        <w:rPr>
          <w:rFonts w:ascii="Tahoma" w:hAnsi="Tahoma" w:cs="Tahoma"/>
          <w:bCs/>
          <w:color w:val="auto"/>
          <w:sz w:val="22"/>
          <w:szCs w:val="22"/>
        </w:rPr>
        <w:t>Project Manager</w:t>
      </w:r>
      <w:r w:rsidRPr="008B033D">
        <w:rPr>
          <w:rFonts w:ascii="Tahoma" w:hAnsi="Tahoma" w:cs="Tahoma"/>
          <w:bCs/>
          <w:color w:val="auto"/>
          <w:sz w:val="22"/>
          <w:szCs w:val="22"/>
        </w:rPr>
        <w:t xml:space="preserve"> </w:t>
      </w:r>
    </w:p>
    <w:p w14:paraId="6C98AFDF" w14:textId="77777777" w:rsidR="00494AB1" w:rsidRDefault="00494AB1" w:rsidP="00494AB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064169"/>
          <w:sz w:val="22"/>
          <w:szCs w:val="22"/>
        </w:rPr>
        <w:t>Hours per week:</w:t>
      </w:r>
      <w:r>
        <w:rPr>
          <w:rFonts w:ascii="Tahoma" w:hAnsi="Tahoma" w:cs="Tahoma"/>
          <w:bCs/>
          <w:color w:val="auto"/>
          <w:sz w:val="22"/>
          <w:szCs w:val="22"/>
        </w:rPr>
        <w:t xml:space="preserve"> 35 hours per week </w:t>
      </w:r>
    </w:p>
    <w:p w14:paraId="163EF3A2" w14:textId="088FBDB1" w:rsidR="00494AB1" w:rsidRPr="00494AB1" w:rsidRDefault="00494AB1" w:rsidP="00494AB1">
      <w:pPr>
        <w:pStyle w:val="CASBody"/>
        <w:spacing w:line="240" w:lineRule="auto"/>
        <w:ind w:left="360"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>Working hours: Monday to Friday 9am – 4:30pm with 30 minutes unpaid lunchbreak</w:t>
      </w:r>
    </w:p>
    <w:p w14:paraId="67F0C270" w14:textId="2E9B2CBC" w:rsidR="00624923" w:rsidRDefault="00705D24" w:rsidP="00624923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064169"/>
          <w:sz w:val="22"/>
          <w:szCs w:val="22"/>
        </w:rPr>
        <w:t>Salary range:</w:t>
      </w:r>
      <w:r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6F19A7">
        <w:rPr>
          <w:rFonts w:ascii="Tahoma" w:hAnsi="Tahoma" w:cs="Tahoma"/>
          <w:bCs/>
          <w:color w:val="auto"/>
          <w:sz w:val="22"/>
          <w:szCs w:val="22"/>
        </w:rPr>
        <w:t>£26K</w:t>
      </w:r>
      <w:r w:rsidR="00624923">
        <w:rPr>
          <w:rFonts w:ascii="Tahoma" w:hAnsi="Tahoma" w:cs="Tahoma"/>
          <w:bCs/>
          <w:color w:val="auto"/>
          <w:sz w:val="22"/>
          <w:szCs w:val="22"/>
        </w:rPr>
        <w:t xml:space="preserve"> – </w:t>
      </w:r>
      <w:r w:rsidR="006F19A7">
        <w:rPr>
          <w:rFonts w:ascii="Tahoma" w:hAnsi="Tahoma" w:cs="Tahoma"/>
          <w:bCs/>
          <w:color w:val="auto"/>
          <w:sz w:val="22"/>
          <w:szCs w:val="22"/>
        </w:rPr>
        <w:t xml:space="preserve">£29K </w:t>
      </w:r>
      <w:r w:rsidR="00624923" w:rsidRPr="00624923">
        <w:rPr>
          <w:rFonts w:ascii="Tahoma" w:hAnsi="Tahoma" w:cs="Tahoma"/>
          <w:bCs/>
          <w:color w:val="auto"/>
          <w:sz w:val="22"/>
          <w:szCs w:val="22"/>
        </w:rPr>
        <w:t>per annum pro rata (commensurate with experience)</w:t>
      </w:r>
    </w:p>
    <w:p w14:paraId="08A5279E" w14:textId="77777777" w:rsidR="00494AB1" w:rsidRPr="00494AB1" w:rsidRDefault="00494AB1" w:rsidP="00494AB1">
      <w:pPr>
        <w:pStyle w:val="CASBody"/>
        <w:spacing w:line="240" w:lineRule="auto"/>
        <w:ind w:left="360" w:right="0"/>
        <w:jc w:val="both"/>
        <w:rPr>
          <w:rFonts w:ascii="Tahoma" w:hAnsi="Tahoma" w:cs="Tahoma"/>
          <w:bCs/>
          <w:color w:val="auto"/>
          <w:sz w:val="22"/>
          <w:szCs w:val="22"/>
        </w:rPr>
      </w:pPr>
    </w:p>
    <w:p w14:paraId="20E0FBED" w14:textId="764700C9" w:rsidR="006F19A7" w:rsidRPr="00703FA9" w:rsidRDefault="00624923" w:rsidP="00624923">
      <w:pPr>
        <w:pStyle w:val="CASBody"/>
        <w:spacing w:line="240" w:lineRule="auto"/>
        <w:ind w:right="0" w:firstLine="360"/>
        <w:jc w:val="both"/>
        <w:rPr>
          <w:rFonts w:ascii="Tahoma" w:hAnsi="Tahoma" w:cs="Tahoma"/>
          <w:b/>
          <w:color w:val="auto"/>
          <w:sz w:val="22"/>
          <w:szCs w:val="22"/>
        </w:rPr>
      </w:pPr>
      <w:r w:rsidRPr="00703FA9">
        <w:rPr>
          <w:rFonts w:ascii="Tahoma" w:hAnsi="Tahoma" w:cs="Tahoma"/>
          <w:b/>
          <w:color w:val="auto"/>
          <w:sz w:val="22"/>
          <w:szCs w:val="22"/>
        </w:rPr>
        <w:t>(</w:t>
      </w:r>
      <w:r w:rsidR="006F19A7" w:rsidRPr="00703FA9">
        <w:rPr>
          <w:rFonts w:ascii="Tahoma" w:hAnsi="Tahoma" w:cs="Tahoma"/>
          <w:b/>
          <w:color w:val="auto"/>
          <w:sz w:val="22"/>
          <w:szCs w:val="22"/>
        </w:rPr>
        <w:t>Initially funded until March 2029</w:t>
      </w:r>
      <w:r w:rsidRPr="00703FA9">
        <w:rPr>
          <w:rFonts w:ascii="Tahoma" w:hAnsi="Tahoma" w:cs="Tahoma"/>
          <w:b/>
          <w:color w:val="auto"/>
          <w:sz w:val="22"/>
          <w:szCs w:val="22"/>
        </w:rPr>
        <w:t>)</w:t>
      </w:r>
      <w:r w:rsidR="006F19A7" w:rsidRPr="00703FA9">
        <w:rPr>
          <w:rFonts w:ascii="Tahoma" w:hAnsi="Tahoma" w:cs="Tahoma"/>
          <w:b/>
          <w:color w:val="auto"/>
          <w:sz w:val="22"/>
          <w:szCs w:val="22"/>
        </w:rPr>
        <w:t xml:space="preserve"> </w:t>
      </w:r>
    </w:p>
    <w:p w14:paraId="528B3E45" w14:textId="77777777" w:rsidR="00B87771" w:rsidRPr="008B033D" w:rsidRDefault="00B87771" w:rsidP="00F84EE1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14:paraId="66509826" w14:textId="6F624F61" w:rsidR="00CB25F5" w:rsidRPr="008B033D" w:rsidRDefault="00CB25F5" w:rsidP="00CB25F5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 w:rsidRPr="008B033D">
        <w:rPr>
          <w:rFonts w:ascii="Tahoma" w:hAnsi="Tahoma" w:cs="Tahoma"/>
          <w:sz w:val="24"/>
          <w:szCs w:val="22"/>
        </w:rPr>
        <w:t>About the role</w:t>
      </w:r>
    </w:p>
    <w:p w14:paraId="3CE9C5AB" w14:textId="77777777" w:rsidR="00CB25F5" w:rsidRPr="008B033D" w:rsidRDefault="00CB25F5" w:rsidP="00CB25F5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0FF1E" wp14:editId="1158257A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257DD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97913D4" w14:textId="7DA26B4B" w:rsidR="00B87771" w:rsidRPr="008B033D" w:rsidRDefault="00B87771" w:rsidP="00F84EE1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14:paraId="2934AC18" w14:textId="75FFB180" w:rsidR="0031683E" w:rsidRDefault="0031683E" w:rsidP="003C73B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Working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>closely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with CTSI</w:t>
      </w:r>
      <w:r w:rsidR="005728BC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(Clackmannanshire Third Sector Interface)</w:t>
      </w:r>
      <w:r w:rsidR="00DD2EE9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and on occasions alongside the Gambling Support Community Connector,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this role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>is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to support individuals experiencing harm related to gambling and to raise awareness within the community.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The post of </w:t>
      </w:r>
      <w:r w:rsidR="00DD2EE9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Gambling Support </w:t>
      </w:r>
      <w:r w:rsidR="00090102">
        <w:rPr>
          <w:rFonts w:ascii="Tahoma" w:eastAsia="Times New Roman" w:hAnsi="Tahoma" w:cs="Tahoma"/>
          <w:bCs/>
          <w:sz w:val="22"/>
          <w:szCs w:val="22"/>
          <w:lang w:eastAsia="en-GB"/>
        </w:rPr>
        <w:t>Advis</w:t>
      </w:r>
      <w:r w:rsidR="00EE7205">
        <w:rPr>
          <w:rFonts w:ascii="Tahoma" w:eastAsia="Times New Roman" w:hAnsi="Tahoma" w:cs="Tahoma"/>
          <w:bCs/>
          <w:sz w:val="22"/>
          <w:szCs w:val="22"/>
          <w:lang w:eastAsia="en-GB"/>
        </w:rPr>
        <w:t>e</w:t>
      </w:r>
      <w:r w:rsidR="00090102">
        <w:rPr>
          <w:rFonts w:ascii="Tahoma" w:eastAsia="Times New Roman" w:hAnsi="Tahoma" w:cs="Tahoma"/>
          <w:bCs/>
          <w:sz w:val="22"/>
          <w:szCs w:val="22"/>
          <w:lang w:eastAsia="en-GB"/>
        </w:rPr>
        <w:t>r</w:t>
      </w:r>
      <w:r w:rsidR="00DD2EE9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is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>resp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onsible for promoting understanding of gambling-related harms and providing practical,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>one to one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support to those affected. </w:t>
      </w:r>
      <w:r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>This includes offering financial guidance, signposting to appropriate services, income maximisation, and creating budgets to support debt‑related interventions, all while taking a holistic approach to each client’s circumstances.</w:t>
      </w:r>
    </w:p>
    <w:p w14:paraId="4756BD29" w14:textId="77777777" w:rsidR="001228BB" w:rsidRPr="001228BB" w:rsidRDefault="001228BB" w:rsidP="003C73B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0CAD11EC" w14:textId="64BAD874" w:rsidR="001415D4" w:rsidRDefault="001228BB" w:rsidP="003C73B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To carry out this role effectively, an up‑to‑date understanding of relevant legislation, case law, policies, and procedures is essential. </w:t>
      </w:r>
      <w:r w:rsidR="0031683E">
        <w:rPr>
          <w:rFonts w:ascii="Tahoma" w:eastAsia="Times New Roman" w:hAnsi="Tahoma" w:cs="Tahoma"/>
          <w:bCs/>
          <w:sz w:val="22"/>
          <w:szCs w:val="22"/>
          <w:lang w:eastAsia="en-GB"/>
        </w:rPr>
        <w:t xml:space="preserve"> </w:t>
      </w:r>
      <w:r w:rsidRPr="001228BB">
        <w:rPr>
          <w:rFonts w:ascii="Tahoma" w:eastAsia="Times New Roman" w:hAnsi="Tahoma" w:cs="Tahoma"/>
          <w:bCs/>
          <w:sz w:val="22"/>
          <w:szCs w:val="22"/>
          <w:lang w:eastAsia="en-GB"/>
        </w:rPr>
        <w:t>Ongoing training will be provided.</w:t>
      </w:r>
    </w:p>
    <w:p w14:paraId="52472165" w14:textId="77777777" w:rsidR="001228BB" w:rsidRPr="008B033D" w:rsidRDefault="001228BB" w:rsidP="003C73B4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7E1457CF" w14:textId="77777777" w:rsidR="008508E6" w:rsidRPr="008B033D" w:rsidRDefault="008508E6" w:rsidP="003C73B4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520296371"/>
      <w:bookmarkStart w:id="1" w:name="_Toc522194033"/>
      <w:bookmarkStart w:id="2" w:name="_Toc520296373"/>
      <w:r w:rsidRPr="008B033D">
        <w:rPr>
          <w:rFonts w:ascii="Tahoma" w:hAnsi="Tahoma" w:cs="Tahoma"/>
          <w:sz w:val="24"/>
          <w:szCs w:val="22"/>
        </w:rPr>
        <w:t>Job description</w:t>
      </w:r>
      <w:bookmarkEnd w:id="0"/>
      <w:bookmarkEnd w:id="1"/>
      <w:r w:rsidRPr="008B033D">
        <w:rPr>
          <w:rFonts w:ascii="Tahoma" w:hAnsi="Tahoma" w:cs="Tahoma"/>
          <w:sz w:val="24"/>
          <w:szCs w:val="22"/>
        </w:rPr>
        <w:t xml:space="preserve"> </w:t>
      </w:r>
    </w:p>
    <w:p w14:paraId="6D79A2A6" w14:textId="77777777" w:rsidR="008508E6" w:rsidRPr="008B033D" w:rsidRDefault="008508E6" w:rsidP="003C73B4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A4F97" wp14:editId="57BC1C3C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1444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E619D48" w14:textId="77777777" w:rsidR="008508E6" w:rsidRPr="008B033D" w:rsidRDefault="008508E6" w:rsidP="003C73B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31DBD169" w14:textId="77777777" w:rsidR="008508E6" w:rsidRPr="008B033D" w:rsidRDefault="008508E6" w:rsidP="003C73B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3" w:name="_Toc520296374"/>
      <w:bookmarkEnd w:id="2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Key responsibilities</w:t>
      </w:r>
      <w:bookmarkEnd w:id="3"/>
    </w:p>
    <w:p w14:paraId="58FD8588" w14:textId="77777777" w:rsidR="008508E6" w:rsidRPr="008B033D" w:rsidRDefault="008508E6" w:rsidP="003C73B4">
      <w:pPr>
        <w:jc w:val="both"/>
        <w:rPr>
          <w:rFonts w:ascii="Tahoma" w:hAnsi="Tahoma" w:cs="Tahoma"/>
          <w:sz w:val="22"/>
          <w:szCs w:val="22"/>
        </w:rPr>
      </w:pPr>
    </w:p>
    <w:p w14:paraId="6D5530C5" w14:textId="3B50AB16" w:rsidR="00D55A91" w:rsidRPr="00DD2EE9" w:rsidRDefault="00D55A91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7E7275">
        <w:rPr>
          <w:rFonts w:ascii="Tahoma" w:eastAsia="Calibri" w:hAnsi="Tahoma" w:cs="Tahoma"/>
          <w:sz w:val="22"/>
          <w:szCs w:val="22"/>
          <w:lang w:eastAsia="en-GB"/>
        </w:rPr>
        <w:t xml:space="preserve">Provide one‑to‑one support for individuals referred for financial </w:t>
      </w:r>
      <w:r w:rsidR="00DD2EE9">
        <w:rPr>
          <w:rFonts w:ascii="Tahoma" w:eastAsia="Calibri" w:hAnsi="Tahoma" w:cs="Tahoma"/>
          <w:sz w:val="22"/>
          <w:szCs w:val="22"/>
          <w:lang w:eastAsia="en-GB"/>
        </w:rPr>
        <w:t>support</w:t>
      </w:r>
      <w:r w:rsidRPr="007E7275">
        <w:rPr>
          <w:rFonts w:ascii="Tahoma" w:eastAsia="Calibri" w:hAnsi="Tahoma" w:cs="Tahoma"/>
          <w:sz w:val="22"/>
          <w:szCs w:val="22"/>
          <w:lang w:eastAsia="en-GB"/>
        </w:rPr>
        <w:t xml:space="preserve"> and gambling‑related issues, adapting support to client needs and delivering it via telephone, email, or face‑to‑face.</w:t>
      </w:r>
      <w:r w:rsidRPr="007E7275">
        <w:t xml:space="preserve"> </w:t>
      </w:r>
    </w:p>
    <w:p w14:paraId="48A03737" w14:textId="67ECD4CD" w:rsidR="00DD2EE9" w:rsidRPr="00DD2EE9" w:rsidRDefault="00DD2EE9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DD2EE9">
        <w:rPr>
          <w:rFonts w:ascii="Tahoma" w:hAnsi="Tahoma" w:cs="Tahoma"/>
          <w:sz w:val="22"/>
          <w:szCs w:val="22"/>
        </w:rPr>
        <w:t xml:space="preserve">To work closely with the gambling Support community connector to aid with reducing gambling related harm </w:t>
      </w:r>
    </w:p>
    <w:p w14:paraId="46451656" w14:textId="77777777" w:rsidR="0031683E" w:rsidRPr="0031683E" w:rsidRDefault="0031683E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31683E">
        <w:rPr>
          <w:rFonts w:ascii="Tahoma" w:eastAsia="Calibri" w:hAnsi="Tahoma" w:cs="Tahoma"/>
          <w:sz w:val="22"/>
          <w:szCs w:val="22"/>
          <w:lang w:eastAsia="en-GB"/>
        </w:rPr>
        <w:t>Promote treatment, support services, and community awareness relating to gambling harm.</w:t>
      </w:r>
    </w:p>
    <w:p w14:paraId="193E45AC" w14:textId="77777777" w:rsidR="0031683E" w:rsidRPr="0031683E" w:rsidRDefault="0031683E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31683E">
        <w:rPr>
          <w:rFonts w:ascii="Tahoma" w:eastAsia="Calibri" w:hAnsi="Tahoma" w:cs="Tahoma"/>
          <w:sz w:val="22"/>
          <w:szCs w:val="22"/>
          <w:lang w:eastAsia="en-GB"/>
        </w:rPr>
        <w:t>Conduct research to strengthen understanding of gambling behaviours, associated harms, and effective engagement approaches for individuals at risk.</w:t>
      </w:r>
    </w:p>
    <w:p w14:paraId="64CB4A0B" w14:textId="39E9D271" w:rsidR="008B4B4D" w:rsidRPr="008B4B4D" w:rsidRDefault="0031683E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31683E">
        <w:rPr>
          <w:rFonts w:ascii="Tahoma" w:eastAsia="Calibri" w:hAnsi="Tahoma" w:cs="Tahoma"/>
          <w:sz w:val="22"/>
          <w:szCs w:val="22"/>
          <w:lang w:eastAsia="en-GB"/>
        </w:rPr>
        <w:t xml:space="preserve">Record and monitor client engagement, including the number of clients supported, case studies </w:t>
      </w:r>
      <w:r w:rsidR="008B4B4D">
        <w:rPr>
          <w:rFonts w:ascii="Tahoma" w:eastAsia="Calibri" w:hAnsi="Tahoma" w:cs="Tahoma"/>
          <w:sz w:val="22"/>
          <w:szCs w:val="22"/>
          <w:lang w:eastAsia="en-GB"/>
        </w:rPr>
        <w:t>of improvements made to the financial circumstances of clients, including any financial gains.</w:t>
      </w:r>
    </w:p>
    <w:p w14:paraId="21C57ED2" w14:textId="5E572ABC" w:rsidR="00D55A91" w:rsidRPr="00D55A91" w:rsidRDefault="00D55A91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sz w:val="22"/>
          <w:szCs w:val="22"/>
          <w:lang w:eastAsia="en-GB"/>
        </w:rPr>
      </w:pPr>
      <w:r w:rsidRPr="00D55A91">
        <w:rPr>
          <w:rFonts w:ascii="Tahoma" w:eastAsia="Calibri" w:hAnsi="Tahoma" w:cs="Tahoma"/>
          <w:sz w:val="22"/>
          <w:szCs w:val="22"/>
          <w:lang w:eastAsia="en-GB"/>
        </w:rPr>
        <w:t>Enhance clients’ financial wellbeing by helping individuals maximise their income, manage their budgets effectively, and build long‑term financial confidence.</w:t>
      </w:r>
    </w:p>
    <w:p w14:paraId="6ED8E10D" w14:textId="77777777" w:rsidR="00494AB1" w:rsidRPr="00494AB1" w:rsidRDefault="00D55A91" w:rsidP="001D4BE8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494AB1">
        <w:rPr>
          <w:rFonts w:ascii="Tahoma" w:eastAsia="Calibri" w:hAnsi="Tahoma" w:cs="Tahoma"/>
          <w:sz w:val="22"/>
          <w:szCs w:val="22"/>
          <w:lang w:eastAsia="en-GB"/>
        </w:rPr>
        <w:t>Signpost clients to appropriate organisations that can provide specialist support when needs are identified.</w:t>
      </w:r>
    </w:p>
    <w:p w14:paraId="4D344956" w14:textId="22E9651D" w:rsidR="00930018" w:rsidRPr="00494AB1" w:rsidRDefault="00D55A91" w:rsidP="001D4BE8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i/>
          <w:iCs/>
          <w:sz w:val="22"/>
          <w:szCs w:val="22"/>
          <w:lang w:eastAsia="en-GB"/>
        </w:rPr>
      </w:pPr>
      <w:r w:rsidRPr="00494AB1">
        <w:rPr>
          <w:rFonts w:ascii="Tahoma" w:eastAsia="Calibri" w:hAnsi="Tahoma" w:cs="Tahoma"/>
          <w:sz w:val="22"/>
          <w:szCs w:val="22"/>
          <w:lang w:eastAsia="en-GB"/>
        </w:rPr>
        <w:t>Attend local events and deliver presentations on gambling harm, available support pathways, and community resources.</w:t>
      </w:r>
      <w:r w:rsidR="00930018" w:rsidRPr="00494AB1">
        <w:rPr>
          <w:rFonts w:ascii="Tahoma" w:eastAsia="Calibri" w:hAnsi="Tahoma" w:cs="Tahoma"/>
          <w:i/>
          <w:iCs/>
          <w:sz w:val="22"/>
          <w:szCs w:val="22"/>
          <w:lang w:eastAsia="en-GB"/>
        </w:rPr>
        <w:t xml:space="preserve">  </w:t>
      </w:r>
    </w:p>
    <w:p w14:paraId="00814896" w14:textId="77777777" w:rsidR="00930018" w:rsidRPr="00D55A91" w:rsidRDefault="00930018" w:rsidP="003C73B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D55A91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lastRenderedPageBreak/>
        <w:t xml:space="preserve">Professional development </w:t>
      </w:r>
    </w:p>
    <w:p w14:paraId="42BE0421" w14:textId="77777777" w:rsidR="001228BB" w:rsidRDefault="001228BB" w:rsidP="003C73B4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14:paraId="7ACA57EA" w14:textId="2F88093E" w:rsidR="00930018" w:rsidRDefault="00930018" w:rsidP="003C73B4">
      <w:pPr>
        <w:pStyle w:val="ListParagraph"/>
        <w:numPr>
          <w:ilvl w:val="0"/>
          <w:numId w:val="23"/>
        </w:numPr>
        <w:jc w:val="both"/>
        <w:rPr>
          <w:rFonts w:ascii="Tahoma" w:eastAsia="Calibri" w:hAnsi="Tahoma" w:cs="Tahoma"/>
          <w:sz w:val="22"/>
          <w:szCs w:val="22"/>
          <w:lang w:eastAsia="en-GB"/>
        </w:rPr>
      </w:pPr>
      <w:r w:rsidRPr="00D55A91">
        <w:rPr>
          <w:rFonts w:ascii="Tahoma" w:eastAsia="Calibri" w:hAnsi="Tahoma" w:cs="Tahoma"/>
          <w:sz w:val="22"/>
          <w:szCs w:val="22"/>
          <w:lang w:eastAsia="en-GB"/>
        </w:rPr>
        <w:t>To undertake training</w:t>
      </w:r>
      <w:r w:rsidR="00BD5A80">
        <w:rPr>
          <w:rFonts w:ascii="Tahoma" w:eastAsia="Calibri" w:hAnsi="Tahoma" w:cs="Tahoma"/>
          <w:sz w:val="22"/>
          <w:szCs w:val="22"/>
          <w:lang w:eastAsia="en-GB"/>
        </w:rPr>
        <w:t>, research</w:t>
      </w:r>
      <w:r w:rsidRPr="00D55A91">
        <w:rPr>
          <w:rFonts w:ascii="Tahoma" w:eastAsia="Calibri" w:hAnsi="Tahoma" w:cs="Tahoma"/>
          <w:sz w:val="22"/>
          <w:szCs w:val="22"/>
          <w:lang w:eastAsia="en-GB"/>
        </w:rPr>
        <w:t xml:space="preserve"> and personal development </w:t>
      </w:r>
      <w:proofErr w:type="gramStart"/>
      <w:r w:rsidRPr="00D55A91">
        <w:rPr>
          <w:rFonts w:ascii="Tahoma" w:eastAsia="Calibri" w:hAnsi="Tahoma" w:cs="Tahoma"/>
          <w:sz w:val="22"/>
          <w:szCs w:val="22"/>
          <w:lang w:eastAsia="en-GB"/>
        </w:rPr>
        <w:t>in order to</w:t>
      </w:r>
      <w:proofErr w:type="gramEnd"/>
      <w:r w:rsidRPr="00D55A91">
        <w:rPr>
          <w:rFonts w:ascii="Tahoma" w:eastAsia="Calibri" w:hAnsi="Tahoma" w:cs="Tahoma"/>
          <w:sz w:val="22"/>
          <w:szCs w:val="22"/>
          <w:lang w:eastAsia="en-GB"/>
        </w:rPr>
        <w:t xml:space="preserve"> ensure that you are fully skilled and updated to perform the role</w:t>
      </w:r>
      <w:r w:rsidR="00BD5A80">
        <w:rPr>
          <w:rFonts w:ascii="Tahoma" w:eastAsia="Calibri" w:hAnsi="Tahoma" w:cs="Tahoma"/>
          <w:sz w:val="22"/>
          <w:szCs w:val="22"/>
          <w:lang w:eastAsia="en-GB"/>
        </w:rPr>
        <w:t>.</w:t>
      </w:r>
    </w:p>
    <w:p w14:paraId="045E6A76" w14:textId="4700578C" w:rsidR="005728BC" w:rsidRDefault="00D55A91" w:rsidP="003C73B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 w:rsidRPr="001F7589">
        <w:rPr>
          <w:rFonts w:ascii="Tahoma" w:hAnsi="Tahoma" w:cs="Tahoma"/>
          <w:sz w:val="22"/>
          <w:szCs w:val="22"/>
        </w:rPr>
        <w:t>Keep up to date with legislation, case law, policies and procedures relating to all aspects of advice and undertake appropriate training.</w:t>
      </w:r>
    </w:p>
    <w:p w14:paraId="63A5807E" w14:textId="77777777" w:rsidR="00BD5A80" w:rsidRPr="00BD5A80" w:rsidRDefault="00BD5A80" w:rsidP="003C73B4">
      <w:pPr>
        <w:pStyle w:val="ListParagraph"/>
        <w:ind w:left="360"/>
        <w:jc w:val="both"/>
        <w:rPr>
          <w:rFonts w:ascii="Tahoma" w:hAnsi="Tahoma" w:cs="Tahoma"/>
          <w:sz w:val="22"/>
          <w:szCs w:val="22"/>
        </w:rPr>
      </w:pPr>
    </w:p>
    <w:p w14:paraId="09F6323D" w14:textId="140735D3" w:rsidR="005728BC" w:rsidRPr="00D55A91" w:rsidRDefault="005728BC" w:rsidP="003C73B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Social Policy</w:t>
      </w:r>
    </w:p>
    <w:p w14:paraId="61A0E0CF" w14:textId="77777777" w:rsidR="005728BC" w:rsidRPr="005728BC" w:rsidRDefault="005728BC" w:rsidP="003C73B4">
      <w:pPr>
        <w:jc w:val="both"/>
        <w:rPr>
          <w:rFonts w:ascii="Tahoma" w:hAnsi="Tahoma" w:cs="Tahoma"/>
          <w:sz w:val="22"/>
          <w:szCs w:val="22"/>
        </w:rPr>
      </w:pPr>
    </w:p>
    <w:p w14:paraId="05C94A95" w14:textId="77777777" w:rsidR="005728BC" w:rsidRDefault="005728BC" w:rsidP="003C73B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 w:rsidRPr="005728BC">
        <w:rPr>
          <w:rFonts w:ascii="Tahoma" w:hAnsi="Tahoma" w:cs="Tahoma"/>
          <w:sz w:val="22"/>
          <w:szCs w:val="22"/>
        </w:rPr>
        <w:t>Assist with social policy work by providing statistical information about clients' circumstances.</w:t>
      </w:r>
    </w:p>
    <w:p w14:paraId="28131CE1" w14:textId="77777777" w:rsidR="005728BC" w:rsidRDefault="005728BC" w:rsidP="003C73B4">
      <w:pPr>
        <w:jc w:val="both"/>
        <w:rPr>
          <w:rFonts w:ascii="Tahoma" w:hAnsi="Tahoma" w:cs="Tahoma"/>
          <w:sz w:val="22"/>
          <w:szCs w:val="22"/>
        </w:rPr>
      </w:pPr>
    </w:p>
    <w:p w14:paraId="5D974473" w14:textId="77777777" w:rsidR="005728BC" w:rsidRPr="005728BC" w:rsidRDefault="005728BC" w:rsidP="003C73B4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r w:rsidRPr="005728BC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Other duties and responsibilities</w:t>
      </w:r>
    </w:p>
    <w:p w14:paraId="0F29D7B5" w14:textId="77777777" w:rsidR="005728BC" w:rsidRDefault="005728BC" w:rsidP="003C73B4">
      <w:pPr>
        <w:ind w:left="360"/>
        <w:jc w:val="both"/>
        <w:rPr>
          <w:rFonts w:ascii="Arial" w:hAnsi="Arial" w:cs="Arial"/>
          <w:lang w:val="en"/>
        </w:rPr>
      </w:pPr>
    </w:p>
    <w:p w14:paraId="16154360" w14:textId="0254D549" w:rsidR="005728BC" w:rsidRPr="005728BC" w:rsidRDefault="005728BC" w:rsidP="003C73B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 w:rsidRPr="005728BC">
        <w:rPr>
          <w:rFonts w:ascii="Tahoma" w:hAnsi="Tahoma" w:cs="Tahoma"/>
          <w:sz w:val="22"/>
          <w:szCs w:val="22"/>
        </w:rPr>
        <w:t>Keep up to date with policies and procedures relevant to bureau work and undertake appropriate training.</w:t>
      </w:r>
    </w:p>
    <w:p w14:paraId="026EA411" w14:textId="169EFA4E" w:rsidR="005728BC" w:rsidRPr="005728BC" w:rsidRDefault="005728BC" w:rsidP="003C73B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 w:rsidRPr="005728BC">
        <w:rPr>
          <w:rFonts w:ascii="Tahoma" w:hAnsi="Tahoma" w:cs="Tahoma"/>
          <w:sz w:val="22"/>
          <w:szCs w:val="22"/>
        </w:rPr>
        <w:t>Alert other staff to local and national issues.</w:t>
      </w:r>
    </w:p>
    <w:p w14:paraId="6998C6B0" w14:textId="10D7555C" w:rsidR="005728BC" w:rsidRPr="005728BC" w:rsidRDefault="005728BC" w:rsidP="003C73B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sz w:val="22"/>
          <w:szCs w:val="22"/>
        </w:rPr>
      </w:pPr>
      <w:r w:rsidRPr="005728BC">
        <w:rPr>
          <w:rFonts w:ascii="Tahoma" w:hAnsi="Tahoma" w:cs="Tahoma"/>
          <w:sz w:val="22"/>
          <w:szCs w:val="22"/>
        </w:rPr>
        <w:t>Attend Annual General Meeting, staff meetings and management/quality assurance meetings as required</w:t>
      </w:r>
      <w:r w:rsidR="00BD5A80">
        <w:rPr>
          <w:rFonts w:ascii="Tahoma" w:hAnsi="Tahoma" w:cs="Tahoma"/>
          <w:sz w:val="22"/>
          <w:szCs w:val="22"/>
        </w:rPr>
        <w:t>.</w:t>
      </w:r>
    </w:p>
    <w:p w14:paraId="78F156AE" w14:textId="77777777" w:rsidR="005728BC" w:rsidRPr="005728BC" w:rsidRDefault="005728BC" w:rsidP="003C73B4">
      <w:pPr>
        <w:jc w:val="both"/>
        <w:rPr>
          <w:rFonts w:ascii="Tahoma" w:hAnsi="Tahoma" w:cs="Tahoma"/>
          <w:sz w:val="22"/>
          <w:szCs w:val="22"/>
        </w:rPr>
      </w:pPr>
    </w:p>
    <w:p w14:paraId="5B4D2844" w14:textId="77777777" w:rsidR="003C73B4" w:rsidRDefault="003C73B4" w:rsidP="003C73B4">
      <w:pPr>
        <w:jc w:val="both"/>
        <w:rPr>
          <w:rFonts w:ascii="Tahoma" w:hAnsi="Tahoma" w:cs="Tahoma"/>
          <w:i/>
          <w:sz w:val="22"/>
          <w:szCs w:val="22"/>
        </w:rPr>
      </w:pPr>
    </w:p>
    <w:p w14:paraId="2994D2F4" w14:textId="50CCC923" w:rsidR="00292C76" w:rsidRPr="0020396F" w:rsidRDefault="00292C76" w:rsidP="003C73B4">
      <w:pPr>
        <w:jc w:val="both"/>
        <w:rPr>
          <w:rFonts w:ascii="Tahoma" w:hAnsi="Tahoma" w:cs="Tahoma"/>
          <w:i/>
          <w:sz w:val="22"/>
          <w:szCs w:val="22"/>
        </w:rPr>
      </w:pPr>
      <w:r w:rsidRPr="0020396F">
        <w:rPr>
          <w:rFonts w:ascii="Tahoma" w:hAnsi="Tahoma" w:cs="Tahoma"/>
          <w:i/>
          <w:sz w:val="22"/>
          <w:szCs w:val="22"/>
        </w:rPr>
        <w:t>The above job description is not exhaustive and is clarified to include broad duties inherent in the post</w:t>
      </w:r>
      <w:r w:rsidR="00E524E9" w:rsidRPr="0020396F">
        <w:rPr>
          <w:rFonts w:ascii="Tahoma" w:hAnsi="Tahoma" w:cs="Tahoma"/>
          <w:i/>
          <w:sz w:val="22"/>
          <w:szCs w:val="22"/>
        </w:rPr>
        <w:t xml:space="preserve"> as reasonable requested by the </w:t>
      </w:r>
      <w:r w:rsidR="001F7589">
        <w:rPr>
          <w:rFonts w:ascii="Tahoma" w:hAnsi="Tahoma" w:cs="Tahoma"/>
          <w:i/>
          <w:sz w:val="22"/>
          <w:szCs w:val="22"/>
        </w:rPr>
        <w:t>Chief Executive</w:t>
      </w:r>
      <w:r w:rsidR="00E524E9" w:rsidRPr="0020396F">
        <w:rPr>
          <w:rFonts w:ascii="Tahoma" w:hAnsi="Tahoma" w:cs="Tahoma"/>
          <w:i/>
          <w:sz w:val="22"/>
          <w:szCs w:val="22"/>
        </w:rPr>
        <w:t>.</w:t>
      </w:r>
    </w:p>
    <w:p w14:paraId="7F6D8101" w14:textId="77777777" w:rsidR="005C78E0" w:rsidRDefault="005C78E0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bookmarkStart w:id="4" w:name="_Toc520296377"/>
      <w:bookmarkStart w:id="5" w:name="_Toc522194034"/>
    </w:p>
    <w:p w14:paraId="50AFBF9A" w14:textId="77777777" w:rsidR="00BD5A80" w:rsidRDefault="00BD5A80" w:rsidP="00BD5A80"/>
    <w:p w14:paraId="67F2DA5A" w14:textId="77777777" w:rsidR="00BD5A80" w:rsidRDefault="00BD5A80" w:rsidP="00BD5A80"/>
    <w:p w14:paraId="6F403CEC" w14:textId="77777777" w:rsidR="00BD5A80" w:rsidRDefault="00BD5A80" w:rsidP="00BD5A80"/>
    <w:p w14:paraId="32DE72DA" w14:textId="77777777" w:rsidR="00BD5A80" w:rsidRDefault="00BD5A80" w:rsidP="00BD5A80"/>
    <w:p w14:paraId="70DA0F78" w14:textId="77777777" w:rsidR="00BD5A80" w:rsidRDefault="00BD5A80" w:rsidP="00BD5A80"/>
    <w:p w14:paraId="58B7F144" w14:textId="77777777" w:rsidR="00BD5A80" w:rsidRDefault="00BD5A80" w:rsidP="00BD5A80"/>
    <w:p w14:paraId="233B76D3" w14:textId="77777777" w:rsidR="00BD5A80" w:rsidRDefault="00BD5A80" w:rsidP="00BD5A80"/>
    <w:p w14:paraId="2A69D98A" w14:textId="77777777" w:rsidR="00BD5A80" w:rsidRDefault="00BD5A80" w:rsidP="00BD5A80"/>
    <w:p w14:paraId="45A43D34" w14:textId="77777777" w:rsidR="00BD5A80" w:rsidRDefault="00BD5A80" w:rsidP="00BD5A80"/>
    <w:p w14:paraId="74818AA7" w14:textId="77777777" w:rsidR="00BD5A80" w:rsidRDefault="00BD5A80" w:rsidP="00BD5A80"/>
    <w:p w14:paraId="2FBEC1A8" w14:textId="77777777" w:rsidR="00BD5A80" w:rsidRDefault="00BD5A80" w:rsidP="00BD5A80"/>
    <w:p w14:paraId="6ACC2EB6" w14:textId="77777777" w:rsidR="00BD5A80" w:rsidRDefault="00BD5A80" w:rsidP="00BD5A80"/>
    <w:p w14:paraId="5A2BAC93" w14:textId="77777777" w:rsidR="00BD5A80" w:rsidRDefault="00BD5A80" w:rsidP="00BD5A80"/>
    <w:p w14:paraId="07224F03" w14:textId="77777777" w:rsidR="00BD5A80" w:rsidRDefault="00BD5A80" w:rsidP="00BD5A80"/>
    <w:p w14:paraId="41B0C2C5" w14:textId="77777777" w:rsidR="00BD5A80" w:rsidRDefault="00BD5A80" w:rsidP="00BD5A80"/>
    <w:p w14:paraId="15975134" w14:textId="77777777" w:rsidR="00BD5A80" w:rsidRDefault="00BD5A80" w:rsidP="00BD5A80"/>
    <w:p w14:paraId="198DFC46" w14:textId="77777777" w:rsidR="00BD5A80" w:rsidRDefault="00BD5A80" w:rsidP="00BD5A80"/>
    <w:p w14:paraId="4EFA5725" w14:textId="77777777" w:rsidR="00BD5A80" w:rsidRDefault="00BD5A80" w:rsidP="00BD5A80"/>
    <w:p w14:paraId="021E2DDE" w14:textId="77777777" w:rsidR="00494AB1" w:rsidRDefault="00494AB1" w:rsidP="00BD5A80"/>
    <w:p w14:paraId="6C0BBF1E" w14:textId="77777777" w:rsidR="00BD5A80" w:rsidRDefault="00BD5A80" w:rsidP="00BD5A80"/>
    <w:p w14:paraId="06910A19" w14:textId="77777777" w:rsidR="00BD5A80" w:rsidRDefault="00BD5A80" w:rsidP="00BD5A80"/>
    <w:p w14:paraId="664740B0" w14:textId="77777777" w:rsidR="00494AB1" w:rsidRDefault="00494AB1" w:rsidP="00BD5A80"/>
    <w:p w14:paraId="3559CAFB" w14:textId="77777777" w:rsidR="003C73B4" w:rsidRDefault="003C73B4" w:rsidP="00BD5A80"/>
    <w:p w14:paraId="16951A98" w14:textId="77777777" w:rsidR="00624923" w:rsidRDefault="00624923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14:paraId="26FB11BB" w14:textId="49A33E2D" w:rsidR="008508E6" w:rsidRPr="008B033D" w:rsidRDefault="008508E6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r w:rsidRPr="008B033D">
        <w:rPr>
          <w:rFonts w:ascii="Tahoma" w:hAnsi="Tahoma" w:cs="Tahoma"/>
          <w:sz w:val="28"/>
          <w:szCs w:val="22"/>
        </w:rPr>
        <w:lastRenderedPageBreak/>
        <w:t>Person specification</w:t>
      </w:r>
      <w:bookmarkEnd w:id="4"/>
      <w:bookmarkEnd w:id="5"/>
    </w:p>
    <w:p w14:paraId="08E3EAE9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1578" wp14:editId="5A08771B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14339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31E30E99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9990" w:type="dxa"/>
        <w:tblInd w:w="-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4"/>
        <w:gridCol w:w="4819"/>
        <w:gridCol w:w="3277"/>
      </w:tblGrid>
      <w:tr w:rsidR="00BD5A80" w14:paraId="661A06B4" w14:textId="77777777" w:rsidTr="003C73B4">
        <w:tc>
          <w:tcPr>
            <w:tcW w:w="1894" w:type="dxa"/>
          </w:tcPr>
          <w:p w14:paraId="3A60A8EA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3CF4A6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2823D67" w14:textId="77777777" w:rsidR="00BD5A80" w:rsidRPr="003C73B4" w:rsidRDefault="00BD5A80" w:rsidP="00E70C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C73B4">
              <w:rPr>
                <w:rFonts w:ascii="Tahoma" w:hAnsi="Tahoma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3277" w:type="dxa"/>
          </w:tcPr>
          <w:p w14:paraId="797A5BA0" w14:textId="77777777" w:rsidR="00BD5A80" w:rsidRPr="003C73B4" w:rsidRDefault="00BD5A80" w:rsidP="00E70C2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C73B4">
              <w:rPr>
                <w:rFonts w:ascii="Tahoma" w:hAnsi="Tahoma" w:cs="Tahoma"/>
                <w:b/>
                <w:sz w:val="22"/>
                <w:szCs w:val="22"/>
              </w:rPr>
              <w:t>Desirable</w:t>
            </w:r>
          </w:p>
        </w:tc>
      </w:tr>
      <w:tr w:rsidR="00BD5A80" w14:paraId="31CA1754" w14:textId="77777777" w:rsidTr="003C73B4">
        <w:tc>
          <w:tcPr>
            <w:tcW w:w="1894" w:type="dxa"/>
          </w:tcPr>
          <w:p w14:paraId="0F8011B8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Qualifications</w:t>
            </w:r>
          </w:p>
          <w:p w14:paraId="3F3469A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8C61325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Relevant qualification or have equivalent experience in the subject matters </w:t>
            </w:r>
          </w:p>
          <w:p w14:paraId="41D9465C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77" w:type="dxa"/>
          </w:tcPr>
          <w:p w14:paraId="476D220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Evidence of vocational training/qualification. </w:t>
            </w:r>
          </w:p>
          <w:p w14:paraId="40BFEC0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CF38FE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Certificate of Competence in Generalist Advice.  </w:t>
            </w:r>
          </w:p>
        </w:tc>
      </w:tr>
      <w:tr w:rsidR="00BD5A80" w14:paraId="762B3793" w14:textId="77777777" w:rsidTr="003C73B4">
        <w:tc>
          <w:tcPr>
            <w:tcW w:w="1894" w:type="dxa"/>
          </w:tcPr>
          <w:p w14:paraId="30EDCE0E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</w:t>
            </w:r>
          </w:p>
          <w:p w14:paraId="2E06AF1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74A6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Experience of providing Advice in the areas of Welfare benefits and Money Advice. </w:t>
            </w:r>
          </w:p>
          <w:p w14:paraId="686D93A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EC73A46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 of working in the advice sector</w:t>
            </w:r>
          </w:p>
          <w:p w14:paraId="4C1374E2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77D9B2" w14:textId="719687F3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Good awareness and understanding of how rights and advice issues impact on the local communities</w:t>
            </w:r>
            <w:r w:rsidR="00014A03">
              <w:rPr>
                <w:rFonts w:ascii="Tahoma" w:hAnsi="Tahoma" w:cs="Tahoma"/>
                <w:sz w:val="22"/>
                <w:szCs w:val="22"/>
              </w:rPr>
              <w:t xml:space="preserve"> especially around gambling harm. </w:t>
            </w:r>
          </w:p>
          <w:p w14:paraId="0DE7421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DFC160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Experienced in using and constructing Spreadsheets and Databases; using word processing packages.</w:t>
            </w:r>
          </w:p>
          <w:p w14:paraId="520A6939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73988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Relevant experience in IT systems </w:t>
            </w:r>
          </w:p>
          <w:p w14:paraId="11AF77A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8EA215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 of partnership working in the voluntary and statutory sectors</w:t>
            </w:r>
          </w:p>
        </w:tc>
        <w:tc>
          <w:tcPr>
            <w:tcW w:w="3277" w:type="dxa"/>
          </w:tcPr>
          <w:p w14:paraId="61ECB3A1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Tribunal and Court action</w:t>
            </w:r>
          </w:p>
          <w:p w14:paraId="50B4039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Representation experience </w:t>
            </w:r>
          </w:p>
          <w:p w14:paraId="24FA014F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11048C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 of undertaking research and/or consultation</w:t>
            </w:r>
          </w:p>
          <w:p w14:paraId="75E84852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B2B6D58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 of CASTLE case recording system</w:t>
            </w:r>
          </w:p>
          <w:p w14:paraId="7C0EB709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D3CC2D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0B0226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Experience of representation in Money advice related matters in the sheriff court</w:t>
            </w:r>
          </w:p>
          <w:p w14:paraId="645E626A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F26B08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600C24F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5A80" w14:paraId="1B5AE961" w14:textId="77777777" w:rsidTr="003C73B4">
        <w:trPr>
          <w:trHeight w:val="5059"/>
        </w:trPr>
        <w:tc>
          <w:tcPr>
            <w:tcW w:w="1894" w:type="dxa"/>
          </w:tcPr>
          <w:p w14:paraId="72FFEB4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Skills, knowledge and attributes</w:t>
            </w:r>
          </w:p>
          <w:p w14:paraId="5EF2CE3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3DD63A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Knowledge and experience of welfare benefits advice up to and including type III Scottish National Standards</w:t>
            </w:r>
          </w:p>
          <w:p w14:paraId="7F44D16F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0E239261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Knowledge and experience of debt advice and income </w:t>
            </w:r>
            <w:proofErr w:type="spellStart"/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maximisation</w:t>
            </w:r>
            <w:proofErr w:type="spellEnd"/>
          </w:p>
          <w:p w14:paraId="05B33AE1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47E68096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An excellent working knowledge of Welfare benefits and better off calculations. </w:t>
            </w:r>
          </w:p>
          <w:p w14:paraId="70DFD2D4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</w:p>
          <w:p w14:paraId="55A81523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  <w:r w:rsidRPr="003C73B4">
              <w:rPr>
                <w:rFonts w:ascii="Tahoma" w:hAnsi="Tahoma" w:cs="Tahoma"/>
                <w:szCs w:val="22"/>
              </w:rPr>
              <w:t>Effective oral communication skills with particular emphasis on negotiating and representing.</w:t>
            </w:r>
          </w:p>
          <w:p w14:paraId="2C3FBEF3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</w:p>
          <w:p w14:paraId="248D44F3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  <w:r w:rsidRPr="003C73B4">
              <w:rPr>
                <w:rFonts w:ascii="Tahoma" w:hAnsi="Tahoma" w:cs="Tahoma"/>
                <w:szCs w:val="22"/>
              </w:rPr>
              <w:t>Effective writing skills with particular emphasis on negotiating, representing and preparing reviews, reports and correspondence.</w:t>
            </w:r>
          </w:p>
          <w:p w14:paraId="5A9ADB7E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</w:p>
          <w:p w14:paraId="01E359FA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  <w:r w:rsidRPr="003C73B4">
              <w:rPr>
                <w:rFonts w:ascii="Tahoma" w:hAnsi="Tahoma" w:cs="Tahoma"/>
                <w:szCs w:val="22"/>
              </w:rPr>
              <w:t>Ordered approach to casework and an ability and willingness to follow and develop agreed procedures.</w:t>
            </w:r>
          </w:p>
          <w:p w14:paraId="09FF8033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</w:p>
          <w:p w14:paraId="29E5D6BC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  <w:r w:rsidRPr="003C73B4">
              <w:rPr>
                <w:rFonts w:ascii="Tahoma" w:hAnsi="Tahoma" w:cs="Tahoma"/>
                <w:szCs w:val="22"/>
              </w:rPr>
              <w:t>Understand the issues involved in interviewing clients.</w:t>
            </w:r>
          </w:p>
          <w:p w14:paraId="716BA939" w14:textId="77777777" w:rsidR="00BD5A80" w:rsidRPr="003C73B4" w:rsidRDefault="00BD5A80" w:rsidP="00E70C2A">
            <w:pPr>
              <w:pStyle w:val="BodyText"/>
              <w:rPr>
                <w:rFonts w:ascii="Tahoma" w:hAnsi="Tahoma" w:cs="Tahoma"/>
                <w:szCs w:val="22"/>
              </w:rPr>
            </w:pPr>
          </w:p>
          <w:p w14:paraId="4A47F6D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 xml:space="preserve">An understanding of barriers people face in gaining employment </w:t>
            </w:r>
          </w:p>
          <w:p w14:paraId="45D57364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B8A2A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Ability to </w:t>
            </w:r>
            <w:proofErr w:type="spellStart"/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prioritise</w:t>
            </w:r>
            <w:proofErr w:type="spellEnd"/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 own work, meet deadlines and manage caseload.</w:t>
            </w:r>
          </w:p>
          <w:p w14:paraId="4E4422DA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26F9E4A8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Understanding of the needs of funders and the requirements of same including case recording client demographics and financial gain.  </w:t>
            </w:r>
          </w:p>
          <w:p w14:paraId="5BC5C43E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4D0655B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Ability to use IT in the provision of advice and the preparation of reports and submissions.</w:t>
            </w:r>
          </w:p>
          <w:p w14:paraId="07141DF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9CF1CB9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Attention to detail.</w:t>
            </w:r>
          </w:p>
        </w:tc>
        <w:tc>
          <w:tcPr>
            <w:tcW w:w="3277" w:type="dxa"/>
          </w:tcPr>
          <w:p w14:paraId="098DA653" w14:textId="77777777" w:rsidR="00BD5A80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lastRenderedPageBreak/>
              <w:t>Awareness of the social needs of local communities and services provided by the voluntary sector</w:t>
            </w:r>
          </w:p>
          <w:p w14:paraId="4789FCA8" w14:textId="77777777" w:rsidR="00703FA9" w:rsidRDefault="00703FA9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E07FB4" w14:textId="745D69BE" w:rsidR="00703FA9" w:rsidRPr="003C73B4" w:rsidRDefault="00703FA9" w:rsidP="00E70C2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 detailed understanding of the issues surrounding problem gambling and associated issues </w:t>
            </w:r>
          </w:p>
          <w:p w14:paraId="1A326BB6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5A80" w14:paraId="21BECB1B" w14:textId="77777777" w:rsidTr="003C73B4">
        <w:tc>
          <w:tcPr>
            <w:tcW w:w="1894" w:type="dxa"/>
          </w:tcPr>
          <w:p w14:paraId="09B7F3E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Values and Attitudes</w:t>
            </w:r>
          </w:p>
          <w:p w14:paraId="71157BB9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03863F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Ability to give and receive feedback objectively and sensitively and a willingness to challenge constructively.</w:t>
            </w:r>
          </w:p>
          <w:p w14:paraId="6E60BD72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1050A4C5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Ability and willingness to work as part of a team.</w:t>
            </w:r>
          </w:p>
          <w:p w14:paraId="00CDD1D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72F7E86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Ability to monitor and maintain own standards.</w:t>
            </w:r>
          </w:p>
          <w:p w14:paraId="2B9B2284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7987ED6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Demonstrate understanding of social trends and their implications for clients and service provision.</w:t>
            </w:r>
          </w:p>
          <w:p w14:paraId="6EAB853F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4523B367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 xml:space="preserve">Understanding of and commitment to the aims and principles of the CAB service and its equal opportunities </w:t>
            </w:r>
          </w:p>
          <w:p w14:paraId="05A65774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policies.</w:t>
            </w:r>
          </w:p>
          <w:p w14:paraId="5975B93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</w:p>
          <w:p w14:paraId="1450003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  <w:lang w:val="en"/>
              </w:rPr>
            </w:pPr>
            <w:r w:rsidRPr="003C73B4">
              <w:rPr>
                <w:rFonts w:ascii="Tahoma" w:hAnsi="Tahoma" w:cs="Tahoma"/>
                <w:sz w:val="22"/>
                <w:szCs w:val="22"/>
                <w:lang w:val="en"/>
              </w:rPr>
              <w:t>Commitment to our holistic approach to client advice</w:t>
            </w:r>
          </w:p>
          <w:p w14:paraId="5C24705A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F72600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Commitment to voluntarism</w:t>
            </w:r>
          </w:p>
          <w:p w14:paraId="3079D120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588DA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Commitment to quality customer care</w:t>
            </w:r>
          </w:p>
        </w:tc>
        <w:tc>
          <w:tcPr>
            <w:tcW w:w="3277" w:type="dxa"/>
          </w:tcPr>
          <w:p w14:paraId="7C3FB92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Proven ability to work within a community development or volunteer setting.</w:t>
            </w:r>
          </w:p>
          <w:p w14:paraId="33AFEE4E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F560305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5A80" w14:paraId="66867CB6" w14:textId="77777777" w:rsidTr="003C73B4">
        <w:tc>
          <w:tcPr>
            <w:tcW w:w="1894" w:type="dxa"/>
          </w:tcPr>
          <w:p w14:paraId="2F82A10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Other</w:t>
            </w:r>
          </w:p>
          <w:p w14:paraId="41694C2F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F9C8674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Willing to be flexible and adaptable in meeting the needs of the service</w:t>
            </w:r>
          </w:p>
          <w:p w14:paraId="32DF191C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D32283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Able to work on own initiative</w:t>
            </w:r>
          </w:p>
          <w:p w14:paraId="45DFBF2D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  <w:r w:rsidRPr="003C73B4">
              <w:rPr>
                <w:rFonts w:ascii="Tahoma" w:hAnsi="Tahoma" w:cs="Tahoma"/>
                <w:sz w:val="22"/>
                <w:szCs w:val="22"/>
              </w:rPr>
              <w:t>Not barred from becoming an approved money advisor under reg 10 DAS regs 2011</w:t>
            </w:r>
          </w:p>
        </w:tc>
        <w:tc>
          <w:tcPr>
            <w:tcW w:w="3277" w:type="dxa"/>
          </w:tcPr>
          <w:p w14:paraId="33B5F50B" w14:textId="77777777" w:rsidR="00BD5A80" w:rsidRPr="003C73B4" w:rsidRDefault="00BD5A80" w:rsidP="00E70C2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EE4E6DC" w14:textId="195D7089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sectPr w:rsidR="00B44EF1" w:rsidRPr="008B033D" w:rsidSect="00494A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57" w:right="1701" w:bottom="113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B9EA" w14:textId="77777777" w:rsidR="00EE499C" w:rsidRDefault="00EE499C" w:rsidP="00295282">
      <w:r>
        <w:separator/>
      </w:r>
    </w:p>
  </w:endnote>
  <w:endnote w:type="continuationSeparator" w:id="0">
    <w:p w14:paraId="035A4CC7" w14:textId="77777777" w:rsidR="00EE499C" w:rsidRDefault="00EE499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67348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FCBD8" w14:textId="464D16E0" w:rsidR="00295282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2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1528247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7D9B7" w14:textId="55C3E691" w:rsidR="008C1B14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1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283D" w14:textId="77777777" w:rsidR="00EE499C" w:rsidRDefault="00EE499C" w:rsidP="00295282">
      <w:r>
        <w:separator/>
      </w:r>
    </w:p>
  </w:footnote>
  <w:footnote w:type="continuationSeparator" w:id="0">
    <w:p w14:paraId="0A1ED280" w14:textId="77777777" w:rsidR="00EE499C" w:rsidRDefault="00EE499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19E0" w14:textId="77777777" w:rsidR="00295282" w:rsidRDefault="00EE499C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81B6AF0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BB29" w14:textId="3C2468D8" w:rsidR="00295282" w:rsidRPr="008508E6" w:rsidRDefault="008508E6" w:rsidP="003C73B4">
    <w:pPr>
      <w:pStyle w:val="Header"/>
      <w:tabs>
        <w:tab w:val="clear" w:pos="8640"/>
        <w:tab w:val="right" w:pos="9208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 w:rsidRPr="008508E6">
      <w:rPr>
        <w:rFonts w:ascii="Tahoma" w:hAnsi="Tahoma" w:cs="Tahoma"/>
        <w:color w:val="000000" w:themeColor="text1"/>
        <w:sz w:val="20"/>
        <w:szCs w:val="18"/>
      </w:rPr>
      <w:t>Job Description</w:t>
    </w:r>
    <w:r w:rsidR="003C73B4">
      <w:rPr>
        <w:rFonts w:ascii="Tahoma" w:hAnsi="Tahoma" w:cs="Tahoma"/>
        <w:color w:val="000000" w:themeColor="text1"/>
        <w:sz w:val="20"/>
        <w:szCs w:val="18"/>
      </w:rPr>
      <w:t xml:space="preserve">                                                           C</w:t>
    </w:r>
    <w:r w:rsidR="003C73B4">
      <w:rPr>
        <w:rFonts w:ascii="Tahoma" w:hAnsi="Tahoma" w:cs="Tahoma"/>
        <w:sz w:val="20"/>
      </w:rPr>
      <w:t>lackmannanshire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2A9B" w14:textId="52908975" w:rsidR="00624923" w:rsidRPr="00624923" w:rsidRDefault="00624923" w:rsidP="00624923">
    <w:pPr>
      <w:pStyle w:val="Header"/>
      <w:rPr>
        <w:rFonts w:ascii="Tahoma" w:hAnsi="Tahoma" w:cs="Tahoma"/>
        <w:b/>
        <w:bCs/>
        <w:sz w:val="20"/>
      </w:rPr>
    </w:pPr>
    <w:r w:rsidRPr="00624923">
      <w:rPr>
        <w:rFonts w:ascii="Tahoma" w:hAnsi="Tahoma" w:cs="Tahoma"/>
        <w:sz w:val="20"/>
      </w:rPr>
      <w:t xml:space="preserve">Gambling Support </w:t>
    </w:r>
    <w:r w:rsidR="00EE7205">
      <w:rPr>
        <w:rFonts w:ascii="Tahoma" w:hAnsi="Tahoma" w:cs="Tahoma"/>
        <w:sz w:val="20"/>
      </w:rPr>
      <w:t>(</w:t>
    </w:r>
    <w:r w:rsidRPr="00624923">
      <w:rPr>
        <w:rFonts w:ascii="Tahoma" w:hAnsi="Tahoma" w:cs="Tahoma"/>
        <w:sz w:val="20"/>
      </w:rPr>
      <w:t>Income Maximisation Adviser</w:t>
    </w:r>
    <w:r w:rsidR="00EE7205">
      <w:rPr>
        <w:rFonts w:ascii="Tahoma" w:hAnsi="Tahoma" w:cs="Tahoma"/>
        <w:sz w:val="20"/>
      </w:rPr>
      <w:t xml:space="preserve">) </w:t>
    </w:r>
    <w:r>
      <w:rPr>
        <w:rFonts w:ascii="Tahoma" w:hAnsi="Tahoma" w:cs="Tahoma"/>
        <w:b/>
        <w:bCs/>
        <w:sz w:val="20"/>
      </w:rPr>
      <w:tab/>
      <w:t xml:space="preserve">    </w:t>
    </w:r>
    <w:r w:rsidR="00EE7205">
      <w:rPr>
        <w:rFonts w:ascii="Tahoma" w:hAnsi="Tahoma" w:cs="Tahoma"/>
        <w:b/>
        <w:bCs/>
        <w:sz w:val="20"/>
      </w:rPr>
      <w:t xml:space="preserve">  </w:t>
    </w:r>
    <w:r w:rsidRPr="00624923">
      <w:rPr>
        <w:rFonts w:ascii="Tahoma" w:hAnsi="Tahoma" w:cs="Tahoma"/>
        <w:sz w:val="20"/>
      </w:rPr>
      <w:t>Clackmannanshire Citizens Advice Bureau</w:t>
    </w:r>
  </w:p>
  <w:p w14:paraId="105AE709" w14:textId="62DB60A3" w:rsidR="00624923" w:rsidRDefault="0020396F" w:rsidP="00F84EE1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ab/>
    </w:r>
    <w:r w:rsidR="00624923">
      <w:rPr>
        <w:rFonts w:ascii="Tahoma" w:hAnsi="Tahoma" w:cs="Tahoma"/>
        <w:sz w:val="20"/>
      </w:rPr>
      <w:t xml:space="preserve"> </w:t>
    </w:r>
  </w:p>
  <w:p w14:paraId="50F65791" w14:textId="77777777" w:rsidR="00624923" w:rsidRDefault="00624923" w:rsidP="00F84EE1">
    <w:pPr>
      <w:pStyle w:val="Header"/>
      <w:rPr>
        <w:rFonts w:ascii="Tahoma" w:hAnsi="Tahoma" w:cs="Tahoma"/>
        <w:sz w:val="20"/>
      </w:rPr>
    </w:pPr>
  </w:p>
  <w:p w14:paraId="2A18C6CF" w14:textId="5FFB4C8D" w:rsidR="008C1B14" w:rsidRPr="008508E6" w:rsidRDefault="008C1B14" w:rsidP="00896AC3">
    <w:pPr>
      <w:pStyle w:val="Header"/>
      <w:ind w:left="-426"/>
      <w:rPr>
        <w:rFonts w:ascii="Tahoma" w:hAnsi="Tahoma" w:cs="Tahoma"/>
        <w:b/>
        <w:color w:val="005AB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589"/>
    <w:multiLevelType w:val="multilevel"/>
    <w:tmpl w:val="949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BA84265"/>
    <w:multiLevelType w:val="hybridMultilevel"/>
    <w:tmpl w:val="1096ACB4"/>
    <w:lvl w:ilvl="0" w:tplc="D4AA39D6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3D15"/>
    <w:multiLevelType w:val="multilevel"/>
    <w:tmpl w:val="1E5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EF5F56"/>
    <w:multiLevelType w:val="multilevel"/>
    <w:tmpl w:val="D66C6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953B2"/>
    <w:multiLevelType w:val="multilevel"/>
    <w:tmpl w:val="3CBA1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291056">
    <w:abstractNumId w:val="3"/>
  </w:num>
  <w:num w:numId="2" w16cid:durableId="826019337">
    <w:abstractNumId w:val="21"/>
  </w:num>
  <w:num w:numId="3" w16cid:durableId="1069301346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220868192">
    <w:abstractNumId w:val="25"/>
  </w:num>
  <w:num w:numId="5" w16cid:durableId="1565293829">
    <w:abstractNumId w:val="8"/>
  </w:num>
  <w:num w:numId="6" w16cid:durableId="187648807">
    <w:abstractNumId w:val="11"/>
  </w:num>
  <w:num w:numId="7" w16cid:durableId="988948021">
    <w:abstractNumId w:val="23"/>
  </w:num>
  <w:num w:numId="8" w16cid:durableId="2053340820">
    <w:abstractNumId w:val="13"/>
  </w:num>
  <w:num w:numId="9" w16cid:durableId="308360399">
    <w:abstractNumId w:val="10"/>
  </w:num>
  <w:num w:numId="10" w16cid:durableId="1233201869">
    <w:abstractNumId w:val="0"/>
  </w:num>
  <w:num w:numId="11" w16cid:durableId="1670281447">
    <w:abstractNumId w:val="2"/>
  </w:num>
  <w:num w:numId="12" w16cid:durableId="1826122617">
    <w:abstractNumId w:val="22"/>
  </w:num>
  <w:num w:numId="13" w16cid:durableId="924269151">
    <w:abstractNumId w:val="9"/>
  </w:num>
  <w:num w:numId="14" w16cid:durableId="651911552">
    <w:abstractNumId w:val="17"/>
  </w:num>
  <w:num w:numId="15" w16cid:durableId="1265959728">
    <w:abstractNumId w:val="12"/>
  </w:num>
  <w:num w:numId="16" w16cid:durableId="15932171">
    <w:abstractNumId w:val="4"/>
  </w:num>
  <w:num w:numId="17" w16cid:durableId="787512418">
    <w:abstractNumId w:val="26"/>
  </w:num>
  <w:num w:numId="18" w16cid:durableId="104539706">
    <w:abstractNumId w:val="15"/>
  </w:num>
  <w:num w:numId="19" w16cid:durableId="263000642">
    <w:abstractNumId w:val="14"/>
  </w:num>
  <w:num w:numId="20" w16cid:durableId="1220556705">
    <w:abstractNumId w:val="20"/>
  </w:num>
  <w:num w:numId="21" w16cid:durableId="1562473853">
    <w:abstractNumId w:val="5"/>
  </w:num>
  <w:num w:numId="22" w16cid:durableId="1448622180">
    <w:abstractNumId w:val="16"/>
  </w:num>
  <w:num w:numId="23" w16cid:durableId="291786949">
    <w:abstractNumId w:val="24"/>
  </w:num>
  <w:num w:numId="24" w16cid:durableId="257831110">
    <w:abstractNumId w:val="1"/>
  </w:num>
  <w:num w:numId="25" w16cid:durableId="208957157">
    <w:abstractNumId w:val="7"/>
  </w:num>
  <w:num w:numId="26" w16cid:durableId="1025180606">
    <w:abstractNumId w:val="19"/>
  </w:num>
  <w:num w:numId="27" w16cid:durableId="821121430">
    <w:abstractNumId w:val="6"/>
  </w:num>
  <w:num w:numId="28" w16cid:durableId="2114327298">
    <w:abstractNumId w:val="27"/>
  </w:num>
  <w:num w:numId="29" w16cid:durableId="580868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E8"/>
    <w:rsid w:val="00014A03"/>
    <w:rsid w:val="00023B58"/>
    <w:rsid w:val="00033746"/>
    <w:rsid w:val="00034C41"/>
    <w:rsid w:val="00036121"/>
    <w:rsid w:val="00045896"/>
    <w:rsid w:val="000503DA"/>
    <w:rsid w:val="00053281"/>
    <w:rsid w:val="0005408A"/>
    <w:rsid w:val="00086309"/>
    <w:rsid w:val="00090102"/>
    <w:rsid w:val="000B3AFF"/>
    <w:rsid w:val="000B4790"/>
    <w:rsid w:val="000B6044"/>
    <w:rsid w:val="000D7715"/>
    <w:rsid w:val="000E3E4E"/>
    <w:rsid w:val="00104BDB"/>
    <w:rsid w:val="001136A3"/>
    <w:rsid w:val="001228BB"/>
    <w:rsid w:val="001415D4"/>
    <w:rsid w:val="001A5DB5"/>
    <w:rsid w:val="001D60E3"/>
    <w:rsid w:val="001F7589"/>
    <w:rsid w:val="0020396F"/>
    <w:rsid w:val="00241AA0"/>
    <w:rsid w:val="00252F6F"/>
    <w:rsid w:val="00257D65"/>
    <w:rsid w:val="00267509"/>
    <w:rsid w:val="00292C76"/>
    <w:rsid w:val="00295282"/>
    <w:rsid w:val="002E4FD5"/>
    <w:rsid w:val="002E56D2"/>
    <w:rsid w:val="002F1655"/>
    <w:rsid w:val="002F3F7A"/>
    <w:rsid w:val="0031683E"/>
    <w:rsid w:val="0032236E"/>
    <w:rsid w:val="0032575A"/>
    <w:rsid w:val="003350FD"/>
    <w:rsid w:val="003778CB"/>
    <w:rsid w:val="003A7648"/>
    <w:rsid w:val="003A7C03"/>
    <w:rsid w:val="003B5988"/>
    <w:rsid w:val="003C73B4"/>
    <w:rsid w:val="003D3B64"/>
    <w:rsid w:val="003D7B1F"/>
    <w:rsid w:val="003E4ED0"/>
    <w:rsid w:val="003E65C7"/>
    <w:rsid w:val="003F46BF"/>
    <w:rsid w:val="00416AD7"/>
    <w:rsid w:val="00442196"/>
    <w:rsid w:val="00491569"/>
    <w:rsid w:val="00494AB1"/>
    <w:rsid w:val="00497CCB"/>
    <w:rsid w:val="004E095A"/>
    <w:rsid w:val="00527D6E"/>
    <w:rsid w:val="00535775"/>
    <w:rsid w:val="00546907"/>
    <w:rsid w:val="005728BC"/>
    <w:rsid w:val="005A02FD"/>
    <w:rsid w:val="005C717A"/>
    <w:rsid w:val="005C78E0"/>
    <w:rsid w:val="005E43F1"/>
    <w:rsid w:val="00607CC9"/>
    <w:rsid w:val="00624923"/>
    <w:rsid w:val="00676100"/>
    <w:rsid w:val="0067778B"/>
    <w:rsid w:val="00697F62"/>
    <w:rsid w:val="006B1EB3"/>
    <w:rsid w:val="006B206B"/>
    <w:rsid w:val="006C1F5F"/>
    <w:rsid w:val="006F19A7"/>
    <w:rsid w:val="00701873"/>
    <w:rsid w:val="00702BD1"/>
    <w:rsid w:val="00703342"/>
    <w:rsid w:val="00703FA9"/>
    <w:rsid w:val="00705D24"/>
    <w:rsid w:val="00731C7F"/>
    <w:rsid w:val="00733594"/>
    <w:rsid w:val="00754BA0"/>
    <w:rsid w:val="0076165A"/>
    <w:rsid w:val="00795850"/>
    <w:rsid w:val="007D7807"/>
    <w:rsid w:val="007E7275"/>
    <w:rsid w:val="00803F6B"/>
    <w:rsid w:val="008128EB"/>
    <w:rsid w:val="00836B95"/>
    <w:rsid w:val="00844597"/>
    <w:rsid w:val="00847C09"/>
    <w:rsid w:val="008508E6"/>
    <w:rsid w:val="00850D69"/>
    <w:rsid w:val="00872347"/>
    <w:rsid w:val="008816F3"/>
    <w:rsid w:val="008847F5"/>
    <w:rsid w:val="00885CDD"/>
    <w:rsid w:val="00896AC3"/>
    <w:rsid w:val="008A0A62"/>
    <w:rsid w:val="008B033D"/>
    <w:rsid w:val="008B3174"/>
    <w:rsid w:val="008B4B4D"/>
    <w:rsid w:val="008B6B1F"/>
    <w:rsid w:val="008C1B14"/>
    <w:rsid w:val="008D3023"/>
    <w:rsid w:val="008E1403"/>
    <w:rsid w:val="008E63C2"/>
    <w:rsid w:val="008F09A1"/>
    <w:rsid w:val="0090607A"/>
    <w:rsid w:val="00930018"/>
    <w:rsid w:val="00930103"/>
    <w:rsid w:val="009342E9"/>
    <w:rsid w:val="00942567"/>
    <w:rsid w:val="00966004"/>
    <w:rsid w:val="00996A14"/>
    <w:rsid w:val="009E478F"/>
    <w:rsid w:val="00A07C8E"/>
    <w:rsid w:val="00A25433"/>
    <w:rsid w:val="00A435AC"/>
    <w:rsid w:val="00A43C53"/>
    <w:rsid w:val="00A53076"/>
    <w:rsid w:val="00A56A32"/>
    <w:rsid w:val="00AB4134"/>
    <w:rsid w:val="00AF38FE"/>
    <w:rsid w:val="00B04BED"/>
    <w:rsid w:val="00B419EE"/>
    <w:rsid w:val="00B44EF1"/>
    <w:rsid w:val="00B70911"/>
    <w:rsid w:val="00B76E29"/>
    <w:rsid w:val="00B8483E"/>
    <w:rsid w:val="00B87771"/>
    <w:rsid w:val="00BA16A2"/>
    <w:rsid w:val="00BB5254"/>
    <w:rsid w:val="00BC3ECB"/>
    <w:rsid w:val="00BD1DFA"/>
    <w:rsid w:val="00BD5A80"/>
    <w:rsid w:val="00C07B3B"/>
    <w:rsid w:val="00C613FF"/>
    <w:rsid w:val="00C76BE8"/>
    <w:rsid w:val="00CA11B7"/>
    <w:rsid w:val="00CB25F5"/>
    <w:rsid w:val="00CB6B2D"/>
    <w:rsid w:val="00CB6F4F"/>
    <w:rsid w:val="00CE73FF"/>
    <w:rsid w:val="00D12F2A"/>
    <w:rsid w:val="00D175A4"/>
    <w:rsid w:val="00D224BD"/>
    <w:rsid w:val="00D342D5"/>
    <w:rsid w:val="00D53628"/>
    <w:rsid w:val="00D55A91"/>
    <w:rsid w:val="00D55B5A"/>
    <w:rsid w:val="00D6571E"/>
    <w:rsid w:val="00D72180"/>
    <w:rsid w:val="00D7412C"/>
    <w:rsid w:val="00D770F7"/>
    <w:rsid w:val="00DA655F"/>
    <w:rsid w:val="00DD2EE9"/>
    <w:rsid w:val="00DD4EEF"/>
    <w:rsid w:val="00DE164D"/>
    <w:rsid w:val="00DE7609"/>
    <w:rsid w:val="00E10FC4"/>
    <w:rsid w:val="00E11E28"/>
    <w:rsid w:val="00E1503F"/>
    <w:rsid w:val="00E22AE2"/>
    <w:rsid w:val="00E34CB3"/>
    <w:rsid w:val="00E4198D"/>
    <w:rsid w:val="00E42D88"/>
    <w:rsid w:val="00E453D8"/>
    <w:rsid w:val="00E524E9"/>
    <w:rsid w:val="00E6731E"/>
    <w:rsid w:val="00EA595D"/>
    <w:rsid w:val="00EE2546"/>
    <w:rsid w:val="00EE499C"/>
    <w:rsid w:val="00EE4F66"/>
    <w:rsid w:val="00EE6184"/>
    <w:rsid w:val="00EE7205"/>
    <w:rsid w:val="00F053A7"/>
    <w:rsid w:val="00F23B12"/>
    <w:rsid w:val="00F532CA"/>
    <w:rsid w:val="00F6702D"/>
    <w:rsid w:val="00F72342"/>
    <w:rsid w:val="00F72B95"/>
    <w:rsid w:val="00F841B4"/>
    <w:rsid w:val="00F84EE1"/>
    <w:rsid w:val="00F86188"/>
    <w:rsid w:val="00F86349"/>
    <w:rsid w:val="00F866ED"/>
    <w:rsid w:val="00F90DB3"/>
    <w:rsid w:val="00FA238C"/>
    <w:rsid w:val="00FA5C5E"/>
    <w:rsid w:val="00FD0A54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F15C7"/>
  <w14:defaultImageDpi w14:val="300"/>
  <w15:docId w15:val="{4AC79C0F-4D2E-4011-881A-2EC1514A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paragraph" w:styleId="NoSpacing">
    <w:name w:val="No Spacing"/>
    <w:uiPriority w:val="1"/>
    <w:qFormat/>
    <w:rsid w:val="008508E6"/>
    <w:rPr>
      <w:rFonts w:ascii="Arial" w:eastAsia="Calibri" w:hAnsi="Arial" w:cs="Arial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C76BE8"/>
    <w:rPr>
      <w:b/>
      <w:bCs/>
    </w:rPr>
  </w:style>
  <w:style w:type="paragraph" w:styleId="BodyText">
    <w:name w:val="Body Text"/>
    <w:basedOn w:val="Normal"/>
    <w:link w:val="BodyTextChar"/>
    <w:rsid w:val="00BD5A80"/>
    <w:rPr>
      <w:rFonts w:ascii="Arial" w:eastAsia="Times New Roman" w:hAnsi="Arial" w:cs="Times New Roman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D5A80"/>
    <w:rPr>
      <w:rFonts w:ascii="Arial" w:eastAsia="Times New Roman" w:hAnsi="Arial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37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9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7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706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8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6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800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8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5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3C51B-F249-4641-A74E-A764EE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Chloe Maclean</cp:lastModifiedBy>
  <cp:revision>6</cp:revision>
  <cp:lastPrinted>2018-05-17T14:16:00Z</cp:lastPrinted>
  <dcterms:created xsi:type="dcterms:W3CDTF">2026-05-13T11:16:00Z</dcterms:created>
  <dcterms:modified xsi:type="dcterms:W3CDTF">2026-05-13T15:09:00Z</dcterms:modified>
</cp:coreProperties>
</file>